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1414" w14:textId="0692D746" w:rsidR="007270E0" w:rsidRPr="002C5D83" w:rsidRDefault="007270E0" w:rsidP="007270E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70514F9" w14:textId="77777777" w:rsidR="007270E0" w:rsidRPr="006C4FE2" w:rsidRDefault="007270E0" w:rsidP="007270E0">
      <w:pPr>
        <w:pStyle w:val="NoSpacing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910E2B" w14:textId="77777777" w:rsidR="00242C24" w:rsidRPr="006C4FE2" w:rsidRDefault="00242C24" w:rsidP="00242C24">
      <w:pPr>
        <w:pStyle w:val="NoSpacing"/>
        <w:rPr>
          <w:rFonts w:asciiTheme="minorHAnsi" w:hAnsiTheme="minorHAnsi" w:cstheme="minorHAnsi"/>
          <w:b/>
          <w:bCs/>
          <w:color w:val="000000" w:themeColor="text1"/>
        </w:rPr>
      </w:pPr>
    </w:p>
    <w:p w14:paraId="479CF383" w14:textId="77777777" w:rsidR="007C526D" w:rsidRPr="00DB4A50" w:rsidRDefault="00557F2C" w:rsidP="00A9592F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>Patient discounts and protection</w:t>
      </w:r>
      <w:r w:rsidR="007C526D"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06F8704" w14:textId="77777777" w:rsidR="007C526D" w:rsidRPr="00DB4A50" w:rsidRDefault="007C526D" w:rsidP="007C526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50363F32" w14:textId="6B36C8F2" w:rsidR="00557F2C" w:rsidRPr="00DB4A50" w:rsidRDefault="00557F2C" w:rsidP="007C526D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Covering both uninsured and under-insured patients, SCK Health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</w:rPr>
        <w:t xml:space="preserve"> and SCK Health Primary Care will apply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 a sliding </w:t>
      </w:r>
      <w:r w:rsidR="00242C24" w:rsidRPr="00DB4A50">
        <w:rPr>
          <w:rFonts w:ascii="Arial" w:hAnsi="Arial" w:cs="Arial"/>
          <w:color w:val="000000" w:themeColor="text1"/>
          <w:sz w:val="22"/>
          <w:szCs w:val="22"/>
        </w:rPr>
        <w:t xml:space="preserve">fee 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scale discount on patient amounts due based on 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</w:rPr>
        <w:t>F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ederal 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</w:rPr>
        <w:t>P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overty 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</w:rPr>
        <w:t>G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>uidelines (FPG) and household income. The individual policies include:</w:t>
      </w:r>
      <w:r w:rsidR="001C73BA" w:rsidRPr="00DB4A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4762BC" w14:textId="77777777" w:rsidR="00557F2C" w:rsidRPr="00DB4A50" w:rsidRDefault="00557F2C" w:rsidP="00557F2C">
      <w:pPr>
        <w:pStyle w:val="ListParagrap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5BA6710" w14:textId="59D79D6D" w:rsidR="00AF3549" w:rsidRPr="00DB4A50" w:rsidRDefault="00AF3549" w:rsidP="003D65A5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Charity Discount </w:t>
      </w:r>
      <w:r w:rsidR="00CA3B8D"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and Sliding Fee Scale </w:t>
      </w: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>Policy</w:t>
      </w:r>
    </w:p>
    <w:p w14:paraId="1EDA04B1" w14:textId="77777777" w:rsidR="00AF3549" w:rsidRPr="00DB4A50" w:rsidRDefault="00AF3549" w:rsidP="00AF354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7057B8" w14:textId="34591396" w:rsidR="00AF3549" w:rsidRPr="00DB4A50" w:rsidRDefault="001C73BA" w:rsidP="007C0B4F">
      <w:pPr>
        <w:pStyle w:val="ListParagrap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SCK Health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proofErr w:type="gramStart"/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>affirms</w:t>
      </w:r>
      <w:proofErr w:type="gramEnd"/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and maintains its commitment to </w:t>
      </w:r>
      <w:r w:rsidR="007C0B4F" w:rsidRPr="00DB4A50">
        <w:rPr>
          <w:rFonts w:ascii="Arial" w:hAnsi="Arial" w:cs="Arial"/>
          <w:bCs/>
          <w:color w:val="000000" w:themeColor="text1"/>
          <w:sz w:val="22"/>
          <w:szCs w:val="22"/>
        </w:rPr>
        <w:t>serving</w:t>
      </w:r>
      <w:r w:rsidR="00CF4711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>our</w:t>
      </w:r>
      <w:r w:rsidR="00BA5525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>community</w:t>
      </w:r>
      <w:r w:rsidR="00CF4711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 xml:space="preserve">The determination of financial assistance (total or partial) shall be based solely on the patient’s ability to pay and not </w:t>
      </w:r>
      <w:proofErr w:type="gramStart"/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>on the basis of</w:t>
      </w:r>
      <w:proofErr w:type="gramEnd"/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 xml:space="preserve"> age, race, color, religion, sex, national origin, disability, veteran status, or gender identification. 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>SCK</w:t>
      </w:r>
      <w:r w:rsidR="00BA5525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Health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intends for this policy </w:t>
      </w:r>
      <w:r w:rsidR="00BA5525" w:rsidRPr="00DB4A50">
        <w:rPr>
          <w:rFonts w:ascii="Arial" w:hAnsi="Arial" w:cs="Arial"/>
          <w:bCs/>
          <w:color w:val="000000" w:themeColor="text1"/>
          <w:sz w:val="22"/>
          <w:szCs w:val="22"/>
        </w:rPr>
        <w:t>to comply</w:t>
      </w:r>
      <w:r w:rsidR="00AF3549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with all applicable federal, state, and local laws. </w:t>
      </w:r>
    </w:p>
    <w:p w14:paraId="7CB27682" w14:textId="77777777" w:rsidR="00AF3549" w:rsidRPr="00DB4A50" w:rsidRDefault="00AF3549" w:rsidP="00AF3549">
      <w:pPr>
        <w:pStyle w:val="NoSpacing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8B1FBC" w14:textId="13F400B9" w:rsidR="00AF3549" w:rsidRPr="00DB4A50" w:rsidRDefault="00AF3549" w:rsidP="00CF4711">
      <w:pPr>
        <w:pStyle w:val="NoSpacing"/>
        <w:ind w:left="7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This program is being offered to assist those that are found to meet the criteria for financial assistance by </w:t>
      </w:r>
      <w:r w:rsidR="008F183E"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SCK Health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>and SCK Health Primary Care</w:t>
      </w:r>
      <w:r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and/or the Board of Trustees and on the totality of the circumstances. Each patient account shall be reviewed on a case-by-case basis pursuant to the guidelines of this policy. Final Approval is </w:t>
      </w:r>
      <w:r w:rsidR="007F03E9"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at</w:t>
      </w:r>
      <w:r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sole discretion of </w:t>
      </w:r>
      <w:r w:rsidR="008F183E"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SCK Health</w:t>
      </w:r>
      <w:r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r w:rsidRPr="00DB4A5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and/or The Board of Trustees. This policy may be modified or terminated at any time as the Board of Trustees direct.</w:t>
      </w:r>
    </w:p>
    <w:p w14:paraId="4711E663" w14:textId="77777777" w:rsidR="00AF3549" w:rsidRPr="00DB4A50" w:rsidRDefault="00AF3549" w:rsidP="00AF354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108556" w14:textId="22852104" w:rsidR="00AF3549" w:rsidRPr="00DB4A50" w:rsidRDefault="00AF3549" w:rsidP="00CF4711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Financial relief </w:t>
      </w:r>
      <w:r w:rsidR="00C161A3" w:rsidRPr="00DB4A50">
        <w:rPr>
          <w:rFonts w:ascii="Arial" w:hAnsi="Arial" w:cs="Arial"/>
          <w:color w:val="000000" w:themeColor="text1"/>
          <w:sz w:val="22"/>
          <w:szCs w:val="22"/>
        </w:rPr>
        <w:t>is</w:t>
      </w:r>
      <w:r w:rsidR="00CA3B8D" w:rsidRPr="00DB4A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available to patients who have received </w:t>
      </w:r>
      <w:r w:rsidR="002D6908" w:rsidRPr="00DB4A50">
        <w:rPr>
          <w:rFonts w:ascii="Arial" w:hAnsi="Arial" w:cs="Arial"/>
          <w:color w:val="000000" w:themeColor="text1"/>
          <w:sz w:val="22"/>
          <w:szCs w:val="22"/>
        </w:rPr>
        <w:t>services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2D6908" w:rsidRPr="00DB4A50">
        <w:rPr>
          <w:rFonts w:ascii="Arial" w:hAnsi="Arial" w:cs="Arial"/>
          <w:color w:val="000000" w:themeColor="text1"/>
          <w:sz w:val="22"/>
          <w:szCs w:val="22"/>
        </w:rPr>
        <w:t xml:space="preserve"> fall below 100% of the FPG</w:t>
      </w:r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 xml:space="preserve">. A </w:t>
      </w:r>
      <w:r w:rsidR="00C161A3" w:rsidRPr="00DB4A50">
        <w:rPr>
          <w:rFonts w:ascii="Arial" w:hAnsi="Arial" w:cs="Arial"/>
          <w:color w:val="000000" w:themeColor="text1"/>
          <w:sz w:val="22"/>
          <w:szCs w:val="22"/>
        </w:rPr>
        <w:t xml:space="preserve">sliding fee discount </w:t>
      </w:r>
      <w:r w:rsidR="00131A7D" w:rsidRPr="00DB4A50">
        <w:rPr>
          <w:rFonts w:ascii="Arial" w:hAnsi="Arial" w:cs="Arial"/>
          <w:color w:val="000000" w:themeColor="text1"/>
          <w:sz w:val="22"/>
          <w:szCs w:val="22"/>
        </w:rPr>
        <w:t xml:space="preserve">is available </w:t>
      </w:r>
      <w:r w:rsidR="00C161A3" w:rsidRPr="00DB4A50">
        <w:rPr>
          <w:rFonts w:ascii="Arial" w:hAnsi="Arial" w:cs="Arial"/>
          <w:color w:val="000000" w:themeColor="text1"/>
          <w:sz w:val="22"/>
          <w:szCs w:val="22"/>
        </w:rPr>
        <w:t xml:space="preserve">for those that are above 100% </w:t>
      </w:r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>and below</w:t>
      </w:r>
      <w:r w:rsidR="00C161A3" w:rsidRPr="00DB4A50">
        <w:rPr>
          <w:rFonts w:ascii="Arial" w:hAnsi="Arial" w:cs="Arial"/>
          <w:color w:val="000000" w:themeColor="text1"/>
          <w:sz w:val="22"/>
          <w:szCs w:val="22"/>
        </w:rPr>
        <w:t xml:space="preserve"> 200%</w:t>
      </w:r>
      <w:r w:rsidR="00BB041A" w:rsidRPr="00DB4A50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CF4711" w:rsidRPr="00DB4A50">
        <w:rPr>
          <w:rFonts w:ascii="Arial" w:hAnsi="Arial" w:cs="Arial"/>
          <w:color w:val="000000" w:themeColor="text1"/>
          <w:sz w:val="22"/>
          <w:szCs w:val="22"/>
        </w:rPr>
        <w:t xml:space="preserve"> the FPG.</w:t>
      </w:r>
    </w:p>
    <w:p w14:paraId="6465D722" w14:textId="77777777" w:rsidR="00BB041A" w:rsidRPr="00DB4A50" w:rsidRDefault="00BB041A" w:rsidP="00CF4711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09A2C68B" w14:textId="55E57C90" w:rsidR="00BB041A" w:rsidRPr="00DB4A50" w:rsidRDefault="00BB041A" w:rsidP="00BB041A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Accounts that are currently in bad debt or at a collection agency will not be considered for financial assistance.</w:t>
      </w:r>
    </w:p>
    <w:p w14:paraId="606342E4" w14:textId="77777777" w:rsidR="0017347B" w:rsidRPr="00DB4A50" w:rsidRDefault="0017347B" w:rsidP="0017347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4B09D8F" w14:textId="77777777" w:rsidR="007C0B4F" w:rsidRPr="00DB4A50" w:rsidRDefault="0017347B" w:rsidP="0017347B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This policy applies to </w:t>
      </w:r>
      <w:r w:rsidR="007C0B4F" w:rsidRPr="00DB4A50">
        <w:rPr>
          <w:rFonts w:ascii="Arial" w:hAnsi="Arial" w:cs="Arial"/>
          <w:color w:val="000000" w:themeColor="text1"/>
          <w:sz w:val="22"/>
          <w:szCs w:val="22"/>
        </w:rPr>
        <w:t xml:space="preserve">the following services provided by SCK Health and SCK Health Primary Care: </w:t>
      </w:r>
    </w:p>
    <w:p w14:paraId="456CDD54" w14:textId="77777777" w:rsidR="007C0B4F" w:rsidRPr="00DB4A50" w:rsidRDefault="007C0B4F" w:rsidP="007C0B4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E177ED" w14:textId="43BA211D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Emergency Services</w:t>
      </w:r>
    </w:p>
    <w:p w14:paraId="1A4542CB" w14:textId="21184E74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Radiology Services</w:t>
      </w:r>
    </w:p>
    <w:p w14:paraId="0CBE73DB" w14:textId="03205C06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Laboratory Services</w:t>
      </w:r>
    </w:p>
    <w:p w14:paraId="6F8B566E" w14:textId="462ED0F5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Respiratory Services </w:t>
      </w:r>
    </w:p>
    <w:p w14:paraId="33CE39E6" w14:textId="1EDCC6DC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Primary Care Services</w:t>
      </w:r>
    </w:p>
    <w:p w14:paraId="165133F4" w14:textId="60B92C96" w:rsidR="007C0B4F" w:rsidRPr="00DB4A50" w:rsidRDefault="007C0B4F" w:rsidP="007C0B4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Other services on a case-by-case basis</w:t>
      </w:r>
    </w:p>
    <w:p w14:paraId="3CB2B6A0" w14:textId="77777777" w:rsidR="0017347B" w:rsidRPr="00DB4A50" w:rsidRDefault="0017347B" w:rsidP="0017347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43DAD1E2" w14:textId="7805BBD1" w:rsidR="0017347B" w:rsidRPr="00DB4A50" w:rsidRDefault="0017347B" w:rsidP="0017347B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The discounts will not be applied to co</w:t>
      </w:r>
      <w:r w:rsidR="00DB4A50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gramStart"/>
      <w:r w:rsidRPr="00DB4A50">
        <w:rPr>
          <w:rFonts w:ascii="Arial" w:hAnsi="Arial" w:cs="Arial"/>
          <w:color w:val="000000" w:themeColor="text1"/>
          <w:sz w:val="22"/>
          <w:szCs w:val="22"/>
        </w:rPr>
        <w:t>pays</w:t>
      </w:r>
      <w:proofErr w:type="gramEnd"/>
      <w:r w:rsidRPr="00DB4A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3F92C2" w14:textId="77777777" w:rsidR="0017347B" w:rsidRPr="00DB4A50" w:rsidRDefault="0017347B" w:rsidP="0017347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1B637944" w14:textId="29EA8EA6" w:rsidR="0017347B" w:rsidRPr="00DB4A50" w:rsidRDefault="0017347B" w:rsidP="00FB7109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SCK Health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r w:rsidR="007C0B4F" w:rsidRPr="00DB4A50">
        <w:rPr>
          <w:rFonts w:ascii="Arial" w:hAnsi="Arial" w:cs="Arial"/>
          <w:color w:val="000000" w:themeColor="text1"/>
          <w:sz w:val="22"/>
          <w:szCs w:val="22"/>
        </w:rPr>
        <w:t>can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 assist the patient in obtaining alternative methods of financial assistance </w:t>
      </w:r>
      <w:r w:rsidR="007C0B4F" w:rsidRPr="00DB4A50">
        <w:rPr>
          <w:rFonts w:ascii="Arial" w:hAnsi="Arial" w:cs="Arial"/>
          <w:color w:val="000000" w:themeColor="text1"/>
          <w:sz w:val="22"/>
          <w:szCs w:val="22"/>
        </w:rPr>
        <w:t xml:space="preserve">if requested. 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This action is intended to allow SCK Health to provide the maximum level of necessary financial assistance within its resources. </w:t>
      </w:r>
    </w:p>
    <w:p w14:paraId="5FFF12DA" w14:textId="77777777" w:rsidR="00395C2F" w:rsidRPr="00DB4A50" w:rsidRDefault="00395C2F" w:rsidP="00395C2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939FBA" w14:textId="0BF1B4A3" w:rsidR="0017347B" w:rsidRPr="00DB4A50" w:rsidRDefault="0017347B" w:rsidP="0017347B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For all who seek financial assistance at SCK Health</w:t>
      </w:r>
      <w:r w:rsidR="00FE0FBE" w:rsidRPr="00DB4A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>and SCK Health Primary Care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, confidentiality of information will be maintained. SCK Health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r w:rsidR="00DB4A50" w:rsidRPr="00DB4A50">
        <w:rPr>
          <w:rFonts w:ascii="Arial" w:hAnsi="Arial" w:cs="Arial"/>
          <w:color w:val="000000" w:themeColor="text1"/>
          <w:sz w:val="22"/>
          <w:szCs w:val="22"/>
        </w:rPr>
        <w:t>respect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gramStart"/>
      <w:r w:rsidRPr="00DB4A50">
        <w:rPr>
          <w:rFonts w:ascii="Arial" w:hAnsi="Arial" w:cs="Arial"/>
          <w:color w:val="000000" w:themeColor="text1"/>
          <w:sz w:val="22"/>
          <w:szCs w:val="22"/>
        </w:rPr>
        <w:t>values</w:t>
      </w:r>
      <w:proofErr w:type="gramEnd"/>
      <w:r w:rsidRPr="00DB4A50">
        <w:rPr>
          <w:rFonts w:ascii="Arial" w:hAnsi="Arial" w:cs="Arial"/>
          <w:color w:val="000000" w:themeColor="text1"/>
          <w:sz w:val="22"/>
          <w:szCs w:val="22"/>
        </w:rPr>
        <w:t xml:space="preserve"> the dignity of all patients and their families.  </w:t>
      </w:r>
    </w:p>
    <w:p w14:paraId="71A341A0" w14:textId="626E5E60" w:rsidR="0017347B" w:rsidRPr="00DB4A50" w:rsidRDefault="0017347B" w:rsidP="0017347B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The application will only apply to the accounts listed on the applicatio</w:t>
      </w:r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 xml:space="preserve">n. Any </w:t>
      </w:r>
      <w:r w:rsidR="00395C2F" w:rsidRPr="00DB4A50">
        <w:rPr>
          <w:rFonts w:ascii="Arial" w:hAnsi="Arial" w:cs="Arial"/>
          <w:color w:val="000000" w:themeColor="text1"/>
          <w:sz w:val="22"/>
          <w:szCs w:val="22"/>
        </w:rPr>
        <w:t>new</w:t>
      </w:r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 xml:space="preserve"> account </w:t>
      </w:r>
      <w:r w:rsidR="00395C2F" w:rsidRPr="00DB4A50">
        <w:rPr>
          <w:rFonts w:ascii="Arial" w:hAnsi="Arial" w:cs="Arial"/>
          <w:color w:val="000000" w:themeColor="text1"/>
          <w:sz w:val="22"/>
          <w:szCs w:val="22"/>
        </w:rPr>
        <w:t xml:space="preserve">at SCK Health </w:t>
      </w:r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 xml:space="preserve">will require a new application. A new application will have to be submitted </w:t>
      </w:r>
      <w:r w:rsidR="00395C2F" w:rsidRPr="00DB4A50">
        <w:rPr>
          <w:rFonts w:ascii="Arial" w:hAnsi="Arial" w:cs="Arial"/>
          <w:color w:val="000000" w:themeColor="text1"/>
          <w:sz w:val="22"/>
          <w:szCs w:val="22"/>
        </w:rPr>
        <w:t>annually</w:t>
      </w:r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>at</w:t>
      </w:r>
      <w:proofErr w:type="gramEnd"/>
      <w:r w:rsidR="002611E9" w:rsidRPr="00DB4A50">
        <w:rPr>
          <w:rFonts w:ascii="Arial" w:hAnsi="Arial" w:cs="Arial"/>
          <w:color w:val="000000" w:themeColor="text1"/>
          <w:sz w:val="22"/>
          <w:szCs w:val="22"/>
        </w:rPr>
        <w:t xml:space="preserve"> SCK Health Primary Care. </w:t>
      </w:r>
    </w:p>
    <w:p w14:paraId="62AE7488" w14:textId="77777777" w:rsidR="002611E9" w:rsidRPr="00DB4A50" w:rsidRDefault="002611E9" w:rsidP="002611E9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346D5DA6" w14:textId="58964FCE" w:rsidR="002611E9" w:rsidRPr="00DB4A50" w:rsidRDefault="002611E9" w:rsidP="0017347B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Any amount over $10,000 per application will be sent to the SCK Health Board of Trustees to review for approval at the next monthly meeting.</w:t>
      </w:r>
    </w:p>
    <w:p w14:paraId="3300F4C9" w14:textId="77777777" w:rsidR="002611E9" w:rsidRPr="00DB4A50" w:rsidRDefault="002611E9" w:rsidP="002611E9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751118B9" w14:textId="339CC545" w:rsidR="007270E0" w:rsidRPr="00DB4A50" w:rsidRDefault="007270E0" w:rsidP="00557F2C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Procedures:</w:t>
      </w:r>
    </w:p>
    <w:p w14:paraId="32EFA3CC" w14:textId="77777777" w:rsidR="007270E0" w:rsidRPr="00DB4A50" w:rsidRDefault="007270E0" w:rsidP="007270E0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E6B8E45" w14:textId="0C46714D" w:rsidR="007270E0" w:rsidRPr="00DB4A50" w:rsidRDefault="007270E0" w:rsidP="00131A7D">
      <w:pPr>
        <w:pStyle w:val="NoSpacing"/>
        <w:numPr>
          <w:ilvl w:val="0"/>
          <w:numId w:val="22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>Patient Eligibility</w:t>
      </w:r>
    </w:p>
    <w:p w14:paraId="782C7319" w14:textId="77777777" w:rsidR="00BB041A" w:rsidRPr="00DB4A50" w:rsidRDefault="00BB041A" w:rsidP="007270E0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559368" w14:textId="5E6A2BED" w:rsidR="00A8115D" w:rsidRPr="00DB4A50" w:rsidRDefault="00CA3B8D" w:rsidP="00131A7D">
      <w:pPr>
        <w:pStyle w:val="NoSpacing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SCK Health</w:t>
      </w:r>
      <w:r w:rsidR="007270E0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E0FBE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and SCK Health Primary Care </w:t>
      </w:r>
      <w:r w:rsidR="00816AF8" w:rsidRPr="00DB4A50">
        <w:rPr>
          <w:rFonts w:ascii="Arial" w:hAnsi="Arial" w:cs="Arial"/>
          <w:bCs/>
          <w:color w:val="000000" w:themeColor="text1"/>
          <w:sz w:val="22"/>
          <w:szCs w:val="22"/>
        </w:rPr>
        <w:t>provide</w:t>
      </w:r>
      <w:r w:rsidR="007270E0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financial assistance to those </w:t>
      </w:r>
      <w:r w:rsidR="00164B7C" w:rsidRPr="00DB4A50">
        <w:rPr>
          <w:rFonts w:ascii="Arial" w:hAnsi="Arial" w:cs="Arial"/>
          <w:bCs/>
          <w:color w:val="000000" w:themeColor="text1"/>
          <w:sz w:val="22"/>
          <w:szCs w:val="22"/>
        </w:rPr>
        <w:t>who ar</w:t>
      </w:r>
      <w:r w:rsidR="007270E0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e considered underinsured or uninsured. </w:t>
      </w:r>
      <w:r w:rsidR="00164B7C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To determine eligibility for financial assistance you must provide a completed financial assistance application </w:t>
      </w:r>
      <w:r w:rsidR="00815E3A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along with the supporting documentation within 14 days from the date </w:t>
      </w:r>
      <w:r w:rsidR="00816AF8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the application was received.  </w:t>
      </w:r>
    </w:p>
    <w:p w14:paraId="3BD6EEE9" w14:textId="77777777" w:rsidR="00A8115D" w:rsidRPr="00DB4A50" w:rsidRDefault="00A8115D" w:rsidP="007270E0">
      <w:pPr>
        <w:pStyle w:val="NoSpacing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7612D35" w14:textId="175396EA" w:rsidR="00A8115D" w:rsidRPr="00DB4A50" w:rsidRDefault="00A8115D" w:rsidP="00A8115D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Demographic information detailing the household makeup and the earnings of employed members of the household.</w:t>
      </w:r>
    </w:p>
    <w:p w14:paraId="31B8FBC0" w14:textId="15726B57" w:rsidR="00A8115D" w:rsidRPr="00DB4A50" w:rsidRDefault="00BB041A" w:rsidP="00A8115D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A8115D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months of pay stubs 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or 3 months of bank statements </w:t>
      </w:r>
      <w:r w:rsidR="00A8115D" w:rsidRPr="00DB4A50">
        <w:rPr>
          <w:rFonts w:ascii="Arial" w:hAnsi="Arial" w:cs="Arial"/>
          <w:bCs/>
          <w:color w:val="000000" w:themeColor="text1"/>
          <w:sz w:val="22"/>
          <w:szCs w:val="22"/>
        </w:rPr>
        <w:t>for any employed household members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or proof of unemployment compensation</w:t>
      </w:r>
      <w:r w:rsidR="00A8115D" w:rsidRPr="00DB4A5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09EB68A" w14:textId="76F03644" w:rsidR="00A8115D" w:rsidRPr="00DB4A50" w:rsidRDefault="00A8115D" w:rsidP="00A8115D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La</w:t>
      </w:r>
      <w:r w:rsidR="00BB041A" w:rsidRPr="00DB4A50">
        <w:rPr>
          <w:rFonts w:ascii="Arial" w:hAnsi="Arial" w:cs="Arial"/>
          <w:bCs/>
          <w:color w:val="000000" w:themeColor="text1"/>
          <w:sz w:val="22"/>
          <w:szCs w:val="22"/>
        </w:rPr>
        <w:t>st 2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Federal Income Tax </w:t>
      </w:r>
      <w:r w:rsidR="00BB041A" w:rsidRPr="00DB4A50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eturn</w:t>
      </w:r>
      <w:r w:rsidR="00BB041A" w:rsidRPr="00DB4A50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3CD920B" w14:textId="785EBCC5" w:rsidR="00A8115D" w:rsidRPr="00DB4A50" w:rsidRDefault="00A8115D" w:rsidP="00A8115D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La</w:t>
      </w:r>
      <w:r w:rsidR="00BB041A" w:rsidRPr="00DB4A50">
        <w:rPr>
          <w:rFonts w:ascii="Arial" w:hAnsi="Arial" w:cs="Arial"/>
          <w:bCs/>
          <w:color w:val="000000" w:themeColor="text1"/>
          <w:sz w:val="22"/>
          <w:szCs w:val="22"/>
        </w:rPr>
        <w:t>st 2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State Income Tax Return</w:t>
      </w:r>
      <w:r w:rsidR="00BB041A" w:rsidRPr="00DB4A50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F112255" w14:textId="54DB51B5" w:rsidR="00A8115D" w:rsidRPr="00DB4A50" w:rsidRDefault="00A8115D" w:rsidP="007270E0">
      <w:pPr>
        <w:pStyle w:val="NoSpacing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Any other information deemed necessary to determine income and eligibility.</w:t>
      </w:r>
    </w:p>
    <w:p w14:paraId="43015570" w14:textId="77777777" w:rsidR="00D610D6" w:rsidRPr="00DB4A50" w:rsidRDefault="00D610D6" w:rsidP="00D610D6">
      <w:pPr>
        <w:pStyle w:val="NoSpacing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3C750B" w14:textId="2EE23AD5" w:rsidR="00D610D6" w:rsidRPr="00DB4A50" w:rsidRDefault="00D610D6" w:rsidP="00131A7D">
      <w:pPr>
        <w:pStyle w:val="NoSpacing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Exceptions: For exceptions </w:t>
      </w:r>
      <w:r w:rsidR="00815E3A"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additional 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>“hardship” documentation may be required to qualify for financial assistance and will be reviewed on a case-by-case basis.</w:t>
      </w:r>
    </w:p>
    <w:p w14:paraId="7CDA6DC8" w14:textId="77777777" w:rsidR="0008784C" w:rsidRPr="00DB4A50" w:rsidRDefault="0008784C" w:rsidP="0008784C">
      <w:pPr>
        <w:pStyle w:val="NoSpacing"/>
        <w:ind w:left="7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E07BAD8" w14:textId="31DA26C3" w:rsidR="007270E0" w:rsidRPr="00DB4A50" w:rsidRDefault="00897616" w:rsidP="00131A7D">
      <w:pPr>
        <w:pStyle w:val="NoSpacing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*</w:t>
      </w:r>
      <w:r w:rsidR="007270E0" w:rsidRPr="00DB4A50">
        <w:rPr>
          <w:rFonts w:ascii="Arial" w:hAnsi="Arial" w:cs="Arial"/>
          <w:color w:val="000000" w:themeColor="text1"/>
          <w:sz w:val="22"/>
          <w:szCs w:val="22"/>
        </w:rPr>
        <w:t>If no tax return is available or has not been filed</w:t>
      </w:r>
      <w:r w:rsidR="00D610D6" w:rsidRPr="00DB4A50">
        <w:rPr>
          <w:rFonts w:ascii="Arial" w:hAnsi="Arial" w:cs="Arial"/>
          <w:color w:val="000000" w:themeColor="text1"/>
          <w:sz w:val="22"/>
          <w:szCs w:val="22"/>
        </w:rPr>
        <w:t xml:space="preserve"> SCK Health and SCK Health Primary Care will require an additional document to be signed</w:t>
      </w:r>
      <w:r w:rsidR="007270E0" w:rsidRPr="00DB4A5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2434FD1" w14:textId="77777777" w:rsidR="005C697A" w:rsidRPr="00DB4A50" w:rsidRDefault="005C697A" w:rsidP="007270E0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30EE008C" w14:textId="1E89AF33" w:rsidR="00897616" w:rsidRPr="00DB4A50" w:rsidRDefault="00897616" w:rsidP="00131A7D">
      <w:pPr>
        <w:pStyle w:val="NoSpacing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color w:val="000000" w:themeColor="text1"/>
          <w:sz w:val="22"/>
          <w:szCs w:val="22"/>
        </w:rPr>
        <w:t>Non-Discrimination: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The granting of charity shall be based on an individualized determination of financial need, and shall not consider age, gender, race, social or immigrant status, sexual </w:t>
      </w:r>
      <w:r w:rsidR="00492CB4" w:rsidRPr="00DB4A50">
        <w:rPr>
          <w:rFonts w:ascii="Arial" w:hAnsi="Arial" w:cs="Arial"/>
          <w:bCs/>
          <w:color w:val="000000" w:themeColor="text1"/>
          <w:sz w:val="22"/>
          <w:szCs w:val="22"/>
        </w:rPr>
        <w:t>orientation,</w:t>
      </w:r>
      <w:r w:rsidRPr="00DB4A50">
        <w:rPr>
          <w:rFonts w:ascii="Arial" w:hAnsi="Arial" w:cs="Arial"/>
          <w:bCs/>
          <w:color w:val="000000" w:themeColor="text1"/>
          <w:sz w:val="22"/>
          <w:szCs w:val="22"/>
        </w:rPr>
        <w:t xml:space="preserve"> or religious affiliation.</w:t>
      </w:r>
    </w:p>
    <w:p w14:paraId="31BBD02D" w14:textId="738BAAB8" w:rsidR="007910EF" w:rsidRPr="00DB4A50" w:rsidRDefault="007910EF" w:rsidP="007910EF">
      <w:pPr>
        <w:pStyle w:val="NoSpacing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EB74BE3" w14:textId="1F4852A7" w:rsidR="007910EF" w:rsidRPr="00DB4A50" w:rsidRDefault="007910EF" w:rsidP="00131A7D">
      <w:pPr>
        <w:pStyle w:val="NoSpacing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Languages: </w:t>
      </w:r>
      <w:r w:rsidRPr="00DB4A50">
        <w:rPr>
          <w:rFonts w:ascii="Arial" w:hAnsi="Arial" w:cs="Arial"/>
          <w:color w:val="000000" w:themeColor="text1"/>
          <w:sz w:val="22"/>
          <w:szCs w:val="22"/>
        </w:rPr>
        <w:t>Translations of the Financial Assistance Policy, the Financial Assistance Policy application, and this plain language summary are available in the following languages upon request:</w:t>
      </w:r>
    </w:p>
    <w:p w14:paraId="520FE1EB" w14:textId="77777777" w:rsidR="007910EF" w:rsidRPr="00DB4A50" w:rsidRDefault="007910EF" w:rsidP="007910EF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49E59071" w14:textId="1A7C433B" w:rsidR="006C4FE2" w:rsidRPr="00DB4A50" w:rsidRDefault="007910EF" w:rsidP="00131A7D">
      <w:pPr>
        <w:pStyle w:val="NoSpacing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B4A50">
        <w:rPr>
          <w:rFonts w:ascii="Arial" w:hAnsi="Arial" w:cs="Arial"/>
          <w:color w:val="000000" w:themeColor="text1"/>
          <w:sz w:val="22"/>
          <w:szCs w:val="22"/>
        </w:rPr>
        <w:t>Spanish</w:t>
      </w:r>
    </w:p>
    <w:p w14:paraId="29A64368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19513D56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218D303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6AF9EC84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6578AE70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723E582B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372520E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15DBBB2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AEDCDC2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7C3F3104" w14:textId="77777777" w:rsidR="00131A7D" w:rsidRPr="00DB4A50" w:rsidRDefault="00131A7D" w:rsidP="00131A7D">
      <w:pPr>
        <w:pStyle w:val="NoSpacing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31BDF08" w14:textId="77777777" w:rsidR="006C4FE2" w:rsidRPr="00DB4A50" w:rsidRDefault="006C4FE2" w:rsidP="007270E0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3B76D9B7" w14:textId="77777777" w:rsidR="006C4FE2" w:rsidRPr="00DB4A50" w:rsidRDefault="006C4FE2" w:rsidP="007270E0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A614E5B" w14:textId="77F7DBDB" w:rsidR="00816AF8" w:rsidRDefault="00816AF8" w:rsidP="006C4FE2">
      <w:pPr>
        <w:rPr>
          <w:rFonts w:asciiTheme="minorHAnsi" w:hAnsiTheme="minorHAnsi" w:cstheme="minorHAnsi"/>
          <w:sz w:val="22"/>
          <w:szCs w:val="22"/>
        </w:rPr>
      </w:pPr>
    </w:p>
    <w:p w14:paraId="720C3DED" w14:textId="5E669E43" w:rsidR="00816AF8" w:rsidRDefault="00816AF8" w:rsidP="006C4FE2">
      <w:pPr>
        <w:rPr>
          <w:rFonts w:asciiTheme="minorHAnsi" w:hAnsiTheme="minorHAnsi" w:cstheme="minorHAnsi"/>
          <w:sz w:val="22"/>
          <w:szCs w:val="22"/>
        </w:rPr>
      </w:pPr>
    </w:p>
    <w:p w14:paraId="18DED772" w14:textId="7F828480" w:rsidR="006C4FE2" w:rsidRPr="00DB4A50" w:rsidRDefault="006C4FE2" w:rsidP="006C4FE2">
      <w:pPr>
        <w:rPr>
          <w:rFonts w:ascii="Arial" w:hAnsi="Arial" w:cs="Arial"/>
          <w:sz w:val="22"/>
          <w:szCs w:val="22"/>
        </w:rPr>
      </w:pPr>
      <w:r w:rsidRPr="00DB4A50">
        <w:rPr>
          <w:rFonts w:ascii="Arial" w:hAnsi="Arial" w:cs="Arial"/>
          <w:sz w:val="22"/>
          <w:szCs w:val="22"/>
        </w:rPr>
        <w:t>If applying for sliding fee-scale, please circle the income range that best describes your yearly household income and current number of people in household.</w:t>
      </w:r>
    </w:p>
    <w:p w14:paraId="37FBDF52" w14:textId="77777777" w:rsidR="006C4FE2" w:rsidRPr="00DB4A50" w:rsidRDefault="006C4FE2" w:rsidP="006C4FE2">
      <w:pPr>
        <w:rPr>
          <w:rFonts w:ascii="Arial" w:hAnsi="Arial" w:cs="Arial"/>
          <w:sz w:val="22"/>
          <w:szCs w:val="22"/>
        </w:rPr>
      </w:pPr>
      <w:r w:rsidRPr="00DB4A50">
        <w:rPr>
          <w:rFonts w:ascii="Arial" w:hAnsi="Arial" w:cs="Arial"/>
          <w:sz w:val="22"/>
          <w:szCs w:val="22"/>
        </w:rPr>
        <w:t>I choose not to disclose my financial information. By choosing not to disclose my income, I accept financial responsibility for all fees incurred.</w:t>
      </w:r>
    </w:p>
    <w:p w14:paraId="54B31B63" w14:textId="77777777" w:rsidR="006C4FE2" w:rsidRPr="00DB4A50" w:rsidRDefault="006C4FE2" w:rsidP="006C4FE2">
      <w:pPr>
        <w:rPr>
          <w:rFonts w:ascii="Arial" w:hAnsi="Arial" w:cs="Arial"/>
          <w:sz w:val="22"/>
          <w:szCs w:val="22"/>
        </w:rPr>
      </w:pPr>
    </w:p>
    <w:p w14:paraId="762E938E" w14:textId="77777777" w:rsidR="006C4FE2" w:rsidRPr="00DB4A50" w:rsidRDefault="006C4FE2" w:rsidP="006C4FE2">
      <w:pPr>
        <w:rPr>
          <w:rFonts w:ascii="Arial" w:hAnsi="Arial" w:cs="Arial"/>
          <w:sz w:val="22"/>
          <w:szCs w:val="22"/>
        </w:rPr>
      </w:pPr>
      <w:r w:rsidRPr="00DB4A50">
        <w:rPr>
          <w:rFonts w:ascii="Arial" w:hAnsi="Arial" w:cs="Arial"/>
          <w:sz w:val="22"/>
          <w:szCs w:val="22"/>
        </w:rPr>
        <w:t>Patient Signature_________________________________________________</w:t>
      </w:r>
    </w:p>
    <w:p w14:paraId="73DFB2AF" w14:textId="77777777" w:rsidR="006C4FE2" w:rsidRPr="006C4FE2" w:rsidRDefault="006C4FE2" w:rsidP="006C4FE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2"/>
        <w:gridCol w:w="1335"/>
        <w:gridCol w:w="1336"/>
        <w:gridCol w:w="1336"/>
        <w:gridCol w:w="1336"/>
        <w:gridCol w:w="1336"/>
        <w:gridCol w:w="1336"/>
      </w:tblGrid>
      <w:tr w:rsidR="006C4FE2" w:rsidRPr="006C4FE2" w14:paraId="7BEAA953" w14:textId="77777777" w:rsidTr="00393E4E">
        <w:trPr>
          <w:trHeight w:val="576"/>
          <w:jc w:val="center"/>
        </w:trPr>
        <w:tc>
          <w:tcPr>
            <w:tcW w:w="1652" w:type="dxa"/>
          </w:tcPr>
          <w:p w14:paraId="67D6C66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Sliding</w:t>
            </w:r>
          </w:p>
          <w:p w14:paraId="35864DBD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Fee Classification</w:t>
            </w:r>
          </w:p>
        </w:tc>
        <w:tc>
          <w:tcPr>
            <w:tcW w:w="1335" w:type="dxa"/>
          </w:tcPr>
          <w:p w14:paraId="7C6109D9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3C0E5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336" w:type="dxa"/>
          </w:tcPr>
          <w:p w14:paraId="3DCBDCCB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23C26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336" w:type="dxa"/>
          </w:tcPr>
          <w:p w14:paraId="122A66EF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B8C3A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336" w:type="dxa"/>
          </w:tcPr>
          <w:p w14:paraId="58FF901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8C343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336" w:type="dxa"/>
          </w:tcPr>
          <w:p w14:paraId="0577BE8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5FF90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336" w:type="dxa"/>
          </w:tcPr>
          <w:p w14:paraId="75BA1711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3EC9F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  <w:p w14:paraId="3A697CEF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FE2" w:rsidRPr="006C4FE2" w14:paraId="55AF903B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746EC072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Federal Poverty Level</w:t>
            </w:r>
          </w:p>
        </w:tc>
        <w:tc>
          <w:tcPr>
            <w:tcW w:w="1335" w:type="dxa"/>
            <w:shd w:val="clear" w:color="auto" w:fill="507033"/>
          </w:tcPr>
          <w:p w14:paraId="57D9D9D0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&lt; = 100%</w:t>
            </w:r>
          </w:p>
        </w:tc>
        <w:tc>
          <w:tcPr>
            <w:tcW w:w="1336" w:type="dxa"/>
            <w:shd w:val="clear" w:color="auto" w:fill="507033"/>
          </w:tcPr>
          <w:p w14:paraId="5B85D8E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125%</w:t>
            </w:r>
          </w:p>
        </w:tc>
        <w:tc>
          <w:tcPr>
            <w:tcW w:w="1336" w:type="dxa"/>
            <w:shd w:val="clear" w:color="auto" w:fill="507033"/>
          </w:tcPr>
          <w:p w14:paraId="38DEF5AD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150%</w:t>
            </w:r>
          </w:p>
        </w:tc>
        <w:tc>
          <w:tcPr>
            <w:tcW w:w="1336" w:type="dxa"/>
            <w:shd w:val="clear" w:color="auto" w:fill="507033"/>
          </w:tcPr>
          <w:p w14:paraId="5C83CCE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175%</w:t>
            </w:r>
          </w:p>
        </w:tc>
        <w:tc>
          <w:tcPr>
            <w:tcW w:w="1336" w:type="dxa"/>
            <w:shd w:val="clear" w:color="auto" w:fill="507033"/>
          </w:tcPr>
          <w:p w14:paraId="4759B38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200%</w:t>
            </w:r>
          </w:p>
        </w:tc>
        <w:tc>
          <w:tcPr>
            <w:tcW w:w="1336" w:type="dxa"/>
            <w:shd w:val="clear" w:color="auto" w:fill="507033"/>
          </w:tcPr>
          <w:p w14:paraId="574A3A68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&gt; 200%</w:t>
            </w:r>
          </w:p>
        </w:tc>
      </w:tr>
      <w:tr w:rsidR="006C4FE2" w:rsidRPr="006C4FE2" w14:paraId="50C0A391" w14:textId="77777777" w:rsidTr="00393E4E">
        <w:trPr>
          <w:trHeight w:val="576"/>
          <w:jc w:val="center"/>
        </w:trPr>
        <w:tc>
          <w:tcPr>
            <w:tcW w:w="1652" w:type="dxa"/>
          </w:tcPr>
          <w:p w14:paraId="4B3D093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Patient Payment Responsibility</w:t>
            </w:r>
          </w:p>
        </w:tc>
        <w:tc>
          <w:tcPr>
            <w:tcW w:w="1335" w:type="dxa"/>
          </w:tcPr>
          <w:p w14:paraId="7F975E64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Nominal Fee</w:t>
            </w:r>
          </w:p>
        </w:tc>
        <w:tc>
          <w:tcPr>
            <w:tcW w:w="1336" w:type="dxa"/>
          </w:tcPr>
          <w:p w14:paraId="6D0D133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20% of Standard Charge</w:t>
            </w:r>
          </w:p>
        </w:tc>
        <w:tc>
          <w:tcPr>
            <w:tcW w:w="1336" w:type="dxa"/>
          </w:tcPr>
          <w:p w14:paraId="29A8278A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40% of Standard Charge</w:t>
            </w:r>
          </w:p>
        </w:tc>
        <w:tc>
          <w:tcPr>
            <w:tcW w:w="1336" w:type="dxa"/>
          </w:tcPr>
          <w:p w14:paraId="33018FE8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60% of Standard Charge</w:t>
            </w:r>
          </w:p>
        </w:tc>
        <w:tc>
          <w:tcPr>
            <w:tcW w:w="1336" w:type="dxa"/>
          </w:tcPr>
          <w:p w14:paraId="5DFA88A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80% of Standard Charge</w:t>
            </w:r>
          </w:p>
        </w:tc>
        <w:tc>
          <w:tcPr>
            <w:tcW w:w="1336" w:type="dxa"/>
          </w:tcPr>
          <w:p w14:paraId="6F59528B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100% of Standard Charge</w:t>
            </w:r>
          </w:p>
        </w:tc>
      </w:tr>
      <w:tr w:rsidR="006C4FE2" w:rsidRPr="006C4FE2" w14:paraId="45E6F3DB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094FE24C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Family Size</w:t>
            </w:r>
          </w:p>
        </w:tc>
        <w:tc>
          <w:tcPr>
            <w:tcW w:w="1335" w:type="dxa"/>
            <w:shd w:val="clear" w:color="auto" w:fill="507033"/>
          </w:tcPr>
          <w:p w14:paraId="58A9314F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  <w:tc>
          <w:tcPr>
            <w:tcW w:w="1336" w:type="dxa"/>
            <w:shd w:val="clear" w:color="auto" w:fill="507033"/>
          </w:tcPr>
          <w:p w14:paraId="6DD58A46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  <w:tc>
          <w:tcPr>
            <w:tcW w:w="1336" w:type="dxa"/>
            <w:shd w:val="clear" w:color="auto" w:fill="507033"/>
          </w:tcPr>
          <w:p w14:paraId="342692D2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  <w:tc>
          <w:tcPr>
            <w:tcW w:w="1336" w:type="dxa"/>
            <w:shd w:val="clear" w:color="auto" w:fill="507033"/>
          </w:tcPr>
          <w:p w14:paraId="46DB51A3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  <w:tc>
          <w:tcPr>
            <w:tcW w:w="1336" w:type="dxa"/>
            <w:shd w:val="clear" w:color="auto" w:fill="507033"/>
          </w:tcPr>
          <w:p w14:paraId="66D7C1C4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  <w:tc>
          <w:tcPr>
            <w:tcW w:w="1336" w:type="dxa"/>
            <w:shd w:val="clear" w:color="auto" w:fill="507033"/>
          </w:tcPr>
          <w:p w14:paraId="7E315716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Annual Income</w:t>
            </w:r>
          </w:p>
        </w:tc>
      </w:tr>
      <w:tr w:rsidR="006C4FE2" w:rsidRPr="006C4FE2" w14:paraId="54492758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482604FB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1335" w:type="dxa"/>
          </w:tcPr>
          <w:p w14:paraId="7599E4A7" w14:textId="44FEA40E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15,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960</w:t>
            </w:r>
          </w:p>
        </w:tc>
        <w:tc>
          <w:tcPr>
            <w:tcW w:w="1336" w:type="dxa"/>
          </w:tcPr>
          <w:p w14:paraId="2BE5C1D9" w14:textId="4806CE8A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15,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961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19,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336" w:type="dxa"/>
          </w:tcPr>
          <w:p w14:paraId="284A59F5" w14:textId="20D8A50A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19,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-23,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336" w:type="dxa"/>
          </w:tcPr>
          <w:p w14:paraId="4769C15A" w14:textId="04954C9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23,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–27,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336" w:type="dxa"/>
          </w:tcPr>
          <w:p w14:paraId="3F2B801F" w14:textId="11B4DADC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27,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931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31,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336" w:type="dxa"/>
          </w:tcPr>
          <w:p w14:paraId="02DF0AB8" w14:textId="7B8C6B55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31,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  <w:p w14:paraId="41AAE612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FE2" w:rsidRPr="006C4FE2" w14:paraId="37C80884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15772D8B" w14:textId="69CB8C5C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1335" w:type="dxa"/>
          </w:tcPr>
          <w:p w14:paraId="181AE76B" w14:textId="19A73BEE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21,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336" w:type="dxa"/>
          </w:tcPr>
          <w:p w14:paraId="5B2CB701" w14:textId="26063323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21,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641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2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7,050</w:t>
            </w:r>
          </w:p>
        </w:tc>
        <w:tc>
          <w:tcPr>
            <w:tcW w:w="1336" w:type="dxa"/>
          </w:tcPr>
          <w:p w14:paraId="5D7597F9" w14:textId="73A303E4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051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3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336" w:type="dxa"/>
          </w:tcPr>
          <w:p w14:paraId="035419E8" w14:textId="3596889E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37,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870</w:t>
            </w:r>
          </w:p>
        </w:tc>
        <w:tc>
          <w:tcPr>
            <w:tcW w:w="1336" w:type="dxa"/>
          </w:tcPr>
          <w:p w14:paraId="4C7282B7" w14:textId="3D0D99FA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37,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871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4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3,280</w:t>
            </w:r>
          </w:p>
        </w:tc>
        <w:tc>
          <w:tcPr>
            <w:tcW w:w="1336" w:type="dxa"/>
          </w:tcPr>
          <w:p w14:paraId="600D917B" w14:textId="765348E0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6BD4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  <w:p w14:paraId="0392F4DA" w14:textId="77777777" w:rsidR="006C4FE2" w:rsidRPr="006C4FE2" w:rsidRDefault="006C4FE2" w:rsidP="006C4F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FE2" w:rsidRPr="006C4FE2" w14:paraId="64C530CA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0FFB8812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1335" w:type="dxa"/>
          </w:tcPr>
          <w:p w14:paraId="3F9FE565" w14:textId="02C29329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2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336" w:type="dxa"/>
          </w:tcPr>
          <w:p w14:paraId="743018C6" w14:textId="24779D3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4,150</w:t>
            </w:r>
          </w:p>
        </w:tc>
        <w:tc>
          <w:tcPr>
            <w:tcW w:w="1336" w:type="dxa"/>
          </w:tcPr>
          <w:p w14:paraId="74334FE6" w14:textId="42E9BDB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,9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336" w:type="dxa"/>
          </w:tcPr>
          <w:p w14:paraId="6F8D2104" w14:textId="72B141F8" w:rsidR="006C4FE2" w:rsidRPr="006C4FE2" w:rsidRDefault="00750673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981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7,810</w:t>
            </w:r>
          </w:p>
        </w:tc>
        <w:tc>
          <w:tcPr>
            <w:tcW w:w="1336" w:type="dxa"/>
          </w:tcPr>
          <w:p w14:paraId="1438770A" w14:textId="1D522D04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811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640</w:t>
            </w:r>
          </w:p>
        </w:tc>
        <w:tc>
          <w:tcPr>
            <w:tcW w:w="1336" w:type="dxa"/>
          </w:tcPr>
          <w:p w14:paraId="553B735A" w14:textId="2C89C4C9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641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</w:tc>
      </w:tr>
      <w:tr w:rsidR="006C4FE2" w:rsidRPr="006C4FE2" w14:paraId="009E2772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7BEDA134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335" w:type="dxa"/>
          </w:tcPr>
          <w:p w14:paraId="664E3057" w14:textId="4107A6D5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1336" w:type="dxa"/>
          </w:tcPr>
          <w:p w14:paraId="60A15B89" w14:textId="010735F2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1,250</w:t>
            </w:r>
          </w:p>
        </w:tc>
        <w:tc>
          <w:tcPr>
            <w:tcW w:w="1336" w:type="dxa"/>
          </w:tcPr>
          <w:p w14:paraId="2941801F" w14:textId="1369EC72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251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9,500</w:t>
            </w:r>
          </w:p>
        </w:tc>
        <w:tc>
          <w:tcPr>
            <w:tcW w:w="1336" w:type="dxa"/>
          </w:tcPr>
          <w:p w14:paraId="50DCE793" w14:textId="19282FD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7,750</w:t>
            </w:r>
          </w:p>
        </w:tc>
        <w:tc>
          <w:tcPr>
            <w:tcW w:w="1336" w:type="dxa"/>
          </w:tcPr>
          <w:p w14:paraId="45ACC2BA" w14:textId="377847B0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751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6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336" w:type="dxa"/>
          </w:tcPr>
          <w:p w14:paraId="0FB7289F" w14:textId="15EC98E6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</w:tc>
      </w:tr>
      <w:tr w:rsidR="006C4FE2" w:rsidRPr="006C4FE2" w14:paraId="5FD6BF2C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4E5BDF0F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335" w:type="dxa"/>
          </w:tcPr>
          <w:p w14:paraId="35892774" w14:textId="4B5BDC3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,6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36" w:type="dxa"/>
          </w:tcPr>
          <w:p w14:paraId="69BB6CBF" w14:textId="39C212C3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8,350</w:t>
            </w:r>
          </w:p>
        </w:tc>
        <w:tc>
          <w:tcPr>
            <w:tcW w:w="1336" w:type="dxa"/>
          </w:tcPr>
          <w:p w14:paraId="5647D2E5" w14:textId="4CF50259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020</w:t>
            </w:r>
          </w:p>
        </w:tc>
        <w:tc>
          <w:tcPr>
            <w:tcW w:w="1336" w:type="dxa"/>
          </w:tcPr>
          <w:p w14:paraId="1C729088" w14:textId="622D86F3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0673">
              <w:rPr>
                <w:rFonts w:asciiTheme="minorHAnsi" w:hAnsiTheme="minorHAnsi" w:cstheme="minorHAnsi"/>
                <w:sz w:val="22"/>
                <w:szCs w:val="22"/>
              </w:rPr>
              <w:t>021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336" w:type="dxa"/>
          </w:tcPr>
          <w:p w14:paraId="721F761D" w14:textId="4433CDDE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691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,3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36" w:type="dxa"/>
          </w:tcPr>
          <w:p w14:paraId="3C032607" w14:textId="49DE4383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</w:tc>
      </w:tr>
      <w:tr w:rsidR="006C4FE2" w:rsidRPr="006C4FE2" w14:paraId="249B08D1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4C70D2A6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1335" w:type="dxa"/>
          </w:tcPr>
          <w:p w14:paraId="1F4E1814" w14:textId="03489731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4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336" w:type="dxa"/>
          </w:tcPr>
          <w:p w14:paraId="11FE6EB7" w14:textId="628C709C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5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336" w:type="dxa"/>
          </w:tcPr>
          <w:p w14:paraId="68EA25D7" w14:textId="071F75F3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336" w:type="dxa"/>
          </w:tcPr>
          <w:p w14:paraId="79BA8E41" w14:textId="5240DA51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7,630</w:t>
            </w:r>
          </w:p>
        </w:tc>
        <w:tc>
          <w:tcPr>
            <w:tcW w:w="1336" w:type="dxa"/>
          </w:tcPr>
          <w:p w14:paraId="04F05C10" w14:textId="76EB99C0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631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8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8,720</w:t>
            </w:r>
          </w:p>
        </w:tc>
        <w:tc>
          <w:tcPr>
            <w:tcW w:w="1336" w:type="dxa"/>
          </w:tcPr>
          <w:p w14:paraId="14087C73" w14:textId="0AACA632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721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</w:tc>
      </w:tr>
      <w:tr w:rsidR="006C4FE2" w:rsidRPr="006C4FE2" w14:paraId="29C919B6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6AAE06E0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1335" w:type="dxa"/>
          </w:tcPr>
          <w:p w14:paraId="314AAE1F" w14:textId="2594982F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040</w:t>
            </w:r>
          </w:p>
        </w:tc>
        <w:tc>
          <w:tcPr>
            <w:tcW w:w="1336" w:type="dxa"/>
          </w:tcPr>
          <w:p w14:paraId="1906A093" w14:textId="2D464B0F" w:rsidR="006C4FE2" w:rsidRPr="006C4FE2" w:rsidRDefault="008111F0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041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336" w:type="dxa"/>
          </w:tcPr>
          <w:p w14:paraId="2E4ADB8E" w14:textId="10EC6602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060</w:t>
            </w:r>
          </w:p>
        </w:tc>
        <w:tc>
          <w:tcPr>
            <w:tcW w:w="1336" w:type="dxa"/>
          </w:tcPr>
          <w:p w14:paraId="08D59A40" w14:textId="597C5746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061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8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570</w:t>
            </w:r>
          </w:p>
        </w:tc>
        <w:tc>
          <w:tcPr>
            <w:tcW w:w="1336" w:type="dxa"/>
          </w:tcPr>
          <w:p w14:paraId="058B3D8E" w14:textId="18186EF2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571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080</w:t>
            </w:r>
          </w:p>
        </w:tc>
        <w:tc>
          <w:tcPr>
            <w:tcW w:w="1336" w:type="dxa"/>
          </w:tcPr>
          <w:p w14:paraId="49C51BD2" w14:textId="7F7BA0C6" w:rsidR="006C4FE2" w:rsidRPr="006C4FE2" w:rsidRDefault="008111F0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100,081</w:t>
            </w:r>
            <w:r w:rsidR="006C4FE2" w:rsidRPr="006C4FE2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</w:tr>
      <w:tr w:rsidR="006C4FE2" w:rsidRPr="006C4FE2" w14:paraId="01089433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22EC2D7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1335" w:type="dxa"/>
          </w:tcPr>
          <w:p w14:paraId="5998F99B" w14:textId="520F93BC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0 – 5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336" w:type="dxa"/>
          </w:tcPr>
          <w:p w14:paraId="5CACA52B" w14:textId="1C1B1A33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721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336" w:type="dxa"/>
          </w:tcPr>
          <w:p w14:paraId="6649581B" w14:textId="6187D16D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,6</w:t>
            </w:r>
            <w:r w:rsidR="008111F0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–8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3,580</w:t>
            </w:r>
          </w:p>
        </w:tc>
        <w:tc>
          <w:tcPr>
            <w:tcW w:w="1336" w:type="dxa"/>
          </w:tcPr>
          <w:p w14:paraId="26C5FCD2" w14:textId="2FE5AFA8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581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9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336" w:type="dxa"/>
          </w:tcPr>
          <w:p w14:paraId="1480C52E" w14:textId="62D76B28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511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336" w:type="dxa"/>
          </w:tcPr>
          <w:p w14:paraId="2B1934BA" w14:textId="0A450268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</w:p>
        </w:tc>
      </w:tr>
      <w:tr w:rsidR="006C4FE2" w:rsidRPr="006C4FE2" w14:paraId="5A45CEE2" w14:textId="77777777" w:rsidTr="00393E4E">
        <w:trPr>
          <w:trHeight w:val="576"/>
          <w:jc w:val="center"/>
        </w:trPr>
        <w:tc>
          <w:tcPr>
            <w:tcW w:w="1652" w:type="dxa"/>
            <w:shd w:val="clear" w:color="auto" w:fill="507033"/>
          </w:tcPr>
          <w:p w14:paraId="412A06B9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FOR EACH PERSON </w:t>
            </w:r>
          </w:p>
        </w:tc>
        <w:tc>
          <w:tcPr>
            <w:tcW w:w="1335" w:type="dxa"/>
          </w:tcPr>
          <w:p w14:paraId="0450C8C5" w14:textId="7AF386C8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sz w:val="22"/>
                <w:szCs w:val="22"/>
              </w:rPr>
              <w:t>5,</w:t>
            </w:r>
            <w:r w:rsidR="009D746D">
              <w:rPr>
                <w:rFonts w:asciiTheme="minorHAnsi" w:hAnsiTheme="minorHAnsi" w:cstheme="minorHAnsi"/>
                <w:sz w:val="22"/>
                <w:szCs w:val="22"/>
              </w:rPr>
              <w:t>680</w:t>
            </w:r>
          </w:p>
        </w:tc>
        <w:tc>
          <w:tcPr>
            <w:tcW w:w="1336" w:type="dxa"/>
          </w:tcPr>
          <w:p w14:paraId="2A32D92D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7BC2623E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6B3FEEFD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EC05387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6" w:type="dxa"/>
          </w:tcPr>
          <w:p w14:paraId="03512003" w14:textId="77777777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FE2" w:rsidRPr="006C4FE2" w14:paraId="05ED8298" w14:textId="77777777" w:rsidTr="00393E4E">
        <w:trPr>
          <w:trHeight w:val="350"/>
          <w:jc w:val="center"/>
        </w:trPr>
        <w:tc>
          <w:tcPr>
            <w:tcW w:w="9667" w:type="dxa"/>
            <w:gridSpan w:val="7"/>
            <w:tcBorders>
              <w:bottom w:val="single" w:sz="4" w:space="0" w:color="auto"/>
            </w:tcBorders>
            <w:shd w:val="clear" w:color="auto" w:fill="FFC000"/>
          </w:tcPr>
          <w:p w14:paraId="431E8BFF" w14:textId="4824411B" w:rsidR="006C4FE2" w:rsidRPr="006C4FE2" w:rsidRDefault="006C4FE2" w:rsidP="00393E4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F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*BASED ON THE 202</w:t>
            </w:r>
            <w:r w:rsidR="009D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6C4F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HHS POVERTY GUIDELINES (https://aspe.hhs.gov/poverty-guidelines)</w:t>
            </w:r>
          </w:p>
        </w:tc>
      </w:tr>
    </w:tbl>
    <w:p w14:paraId="03B7A33D" w14:textId="77777777" w:rsidR="006C4FE2" w:rsidRDefault="006C4FE2" w:rsidP="006C4FE2">
      <w:pPr>
        <w:rPr>
          <w:rFonts w:asciiTheme="minorHAnsi" w:hAnsiTheme="minorHAnsi" w:cstheme="minorHAnsi"/>
        </w:rPr>
      </w:pPr>
    </w:p>
    <w:p w14:paraId="6D174B0C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6C7C6B6B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1E793711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29EA46A6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263650D4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5F8107C9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32DCE863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2EEE6B82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758C029F" w14:textId="77777777" w:rsidR="000F34F4" w:rsidRDefault="000F34F4" w:rsidP="006C4FE2">
      <w:pPr>
        <w:rPr>
          <w:rFonts w:asciiTheme="minorHAnsi" w:hAnsiTheme="minorHAnsi" w:cstheme="minorHAnsi"/>
        </w:rPr>
      </w:pPr>
    </w:p>
    <w:p w14:paraId="2A8B541D" w14:textId="77777777" w:rsidR="000F34F4" w:rsidRDefault="000F34F4" w:rsidP="006C4FE2">
      <w:pPr>
        <w:rPr>
          <w:rFonts w:asciiTheme="minorHAnsi" w:hAnsiTheme="minorHAnsi" w:cstheme="minorHAnsi"/>
        </w:rPr>
        <w:sectPr w:rsidR="000F34F4" w:rsidSect="000F34F4">
          <w:footerReference w:type="even" r:id="rId8"/>
          <w:pgSz w:w="12240" w:h="15840" w:code="1"/>
          <w:pgMar w:top="1224" w:right="1080" w:bottom="1152" w:left="1080" w:header="720" w:footer="720" w:gutter="0"/>
          <w:paperSrc w:first="15" w:other="15"/>
          <w:cols w:space="720"/>
          <w:docGrid w:linePitch="360"/>
        </w:sectPr>
      </w:pPr>
    </w:p>
    <w:p w14:paraId="5372DD39" w14:textId="1669840D" w:rsidR="002D356F" w:rsidRPr="002C5D83" w:rsidRDefault="000F34F4" w:rsidP="007270E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0F34F4">
        <w:rPr>
          <w:noProof/>
          <w:color w:val="000000" w:themeColor="text1"/>
        </w:rPr>
        <w:drawing>
          <wp:inline distT="0" distB="0" distL="0" distR="0" wp14:anchorId="2B6016AF" wp14:editId="2DBE4AF7">
            <wp:extent cx="8508025" cy="6486525"/>
            <wp:effectExtent l="0" t="0" r="7620" b="0"/>
            <wp:docPr id="748096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961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84923" cy="65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56F" w:rsidRPr="002C5D83" w:rsidSect="000F34F4">
      <w:pgSz w:w="15840" w:h="12240" w:orient="landscape" w:code="1"/>
      <w:pgMar w:top="1080" w:right="1224" w:bottom="1080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1420" w14:textId="77777777" w:rsidR="007E6104" w:rsidRDefault="007E6104">
      <w:r>
        <w:separator/>
      </w:r>
    </w:p>
  </w:endnote>
  <w:endnote w:type="continuationSeparator" w:id="0">
    <w:p w14:paraId="39C85B9C" w14:textId="77777777" w:rsidR="007E6104" w:rsidRDefault="007E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CE4A" w14:textId="77777777" w:rsidR="007F03E9" w:rsidRDefault="00260694" w:rsidP="001E2B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2A7A1" w14:textId="77777777" w:rsidR="007F03E9" w:rsidRDefault="007F0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6602" w14:textId="77777777" w:rsidR="007E6104" w:rsidRDefault="007E6104">
      <w:r>
        <w:separator/>
      </w:r>
    </w:p>
  </w:footnote>
  <w:footnote w:type="continuationSeparator" w:id="0">
    <w:p w14:paraId="4C753E93" w14:textId="77777777" w:rsidR="007E6104" w:rsidRDefault="007E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94B"/>
    <w:multiLevelType w:val="hybridMultilevel"/>
    <w:tmpl w:val="5E507AD2"/>
    <w:lvl w:ilvl="0" w:tplc="BDE81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329"/>
    <w:multiLevelType w:val="hybridMultilevel"/>
    <w:tmpl w:val="DEB8C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F3D81"/>
    <w:multiLevelType w:val="hybridMultilevel"/>
    <w:tmpl w:val="9366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378CB"/>
    <w:multiLevelType w:val="hybridMultilevel"/>
    <w:tmpl w:val="AF5E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35BA"/>
    <w:multiLevelType w:val="hybridMultilevel"/>
    <w:tmpl w:val="6CB4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45B9"/>
    <w:multiLevelType w:val="hybridMultilevel"/>
    <w:tmpl w:val="17847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779D9"/>
    <w:multiLevelType w:val="hybridMultilevel"/>
    <w:tmpl w:val="E912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0B3"/>
    <w:multiLevelType w:val="hybridMultilevel"/>
    <w:tmpl w:val="32D2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09E3"/>
    <w:multiLevelType w:val="hybridMultilevel"/>
    <w:tmpl w:val="FB6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14D2"/>
    <w:multiLevelType w:val="hybridMultilevel"/>
    <w:tmpl w:val="B2B0B450"/>
    <w:lvl w:ilvl="0" w:tplc="0D526F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1D93"/>
    <w:multiLevelType w:val="hybridMultilevel"/>
    <w:tmpl w:val="96F2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3D4F"/>
    <w:multiLevelType w:val="hybridMultilevel"/>
    <w:tmpl w:val="3522EA40"/>
    <w:lvl w:ilvl="0" w:tplc="2C4E1C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04274"/>
    <w:multiLevelType w:val="hybridMultilevel"/>
    <w:tmpl w:val="E3526D5A"/>
    <w:lvl w:ilvl="0" w:tplc="BA5E2FA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6CDD"/>
    <w:multiLevelType w:val="hybridMultilevel"/>
    <w:tmpl w:val="508C5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33030C"/>
    <w:multiLevelType w:val="hybridMultilevel"/>
    <w:tmpl w:val="7CEAC3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C091E"/>
    <w:multiLevelType w:val="hybridMultilevel"/>
    <w:tmpl w:val="D56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C349A"/>
    <w:multiLevelType w:val="hybridMultilevel"/>
    <w:tmpl w:val="84008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7C6C5C"/>
    <w:multiLevelType w:val="hybridMultilevel"/>
    <w:tmpl w:val="BDA4E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A470D9"/>
    <w:multiLevelType w:val="hybridMultilevel"/>
    <w:tmpl w:val="FB42E0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51EEE"/>
    <w:multiLevelType w:val="hybridMultilevel"/>
    <w:tmpl w:val="6972C6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F697F"/>
    <w:multiLevelType w:val="hybridMultilevel"/>
    <w:tmpl w:val="13F607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A78EA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8CE"/>
    <w:multiLevelType w:val="hybridMultilevel"/>
    <w:tmpl w:val="C8C6C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96975"/>
    <w:multiLevelType w:val="hybridMultilevel"/>
    <w:tmpl w:val="E87ED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70569">
    <w:abstractNumId w:val="21"/>
  </w:num>
  <w:num w:numId="2" w16cid:durableId="2020348030">
    <w:abstractNumId w:val="10"/>
  </w:num>
  <w:num w:numId="3" w16cid:durableId="375784909">
    <w:abstractNumId w:val="22"/>
  </w:num>
  <w:num w:numId="4" w16cid:durableId="2030597430">
    <w:abstractNumId w:val="3"/>
  </w:num>
  <w:num w:numId="5" w16cid:durableId="417218895">
    <w:abstractNumId w:val="0"/>
  </w:num>
  <w:num w:numId="6" w16cid:durableId="327094695">
    <w:abstractNumId w:val="11"/>
  </w:num>
  <w:num w:numId="7" w16cid:durableId="2012950582">
    <w:abstractNumId w:val="18"/>
  </w:num>
  <w:num w:numId="8" w16cid:durableId="675499999">
    <w:abstractNumId w:val="12"/>
  </w:num>
  <w:num w:numId="9" w16cid:durableId="1364939256">
    <w:abstractNumId w:val="15"/>
  </w:num>
  <w:num w:numId="10" w16cid:durableId="93672186">
    <w:abstractNumId w:val="19"/>
  </w:num>
  <w:num w:numId="11" w16cid:durableId="565844802">
    <w:abstractNumId w:val="20"/>
  </w:num>
  <w:num w:numId="12" w16cid:durableId="1318337810">
    <w:abstractNumId w:val="7"/>
  </w:num>
  <w:num w:numId="13" w16cid:durableId="1513060810">
    <w:abstractNumId w:val="2"/>
  </w:num>
  <w:num w:numId="14" w16cid:durableId="108860982">
    <w:abstractNumId w:val="9"/>
  </w:num>
  <w:num w:numId="15" w16cid:durableId="1628051115">
    <w:abstractNumId w:val="13"/>
  </w:num>
  <w:num w:numId="16" w16cid:durableId="1037045112">
    <w:abstractNumId w:val="17"/>
  </w:num>
  <w:num w:numId="17" w16cid:durableId="961763637">
    <w:abstractNumId w:val="1"/>
  </w:num>
  <w:num w:numId="18" w16cid:durableId="1779527190">
    <w:abstractNumId w:val="4"/>
  </w:num>
  <w:num w:numId="19" w16cid:durableId="174468609">
    <w:abstractNumId w:val="8"/>
  </w:num>
  <w:num w:numId="20" w16cid:durableId="1265308781">
    <w:abstractNumId w:val="14"/>
  </w:num>
  <w:num w:numId="21" w16cid:durableId="988941638">
    <w:abstractNumId w:val="16"/>
  </w:num>
  <w:num w:numId="22" w16cid:durableId="13846822">
    <w:abstractNumId w:val="6"/>
  </w:num>
  <w:num w:numId="23" w16cid:durableId="15468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E0"/>
    <w:rsid w:val="00015FC8"/>
    <w:rsid w:val="00027D37"/>
    <w:rsid w:val="00032377"/>
    <w:rsid w:val="00034F3F"/>
    <w:rsid w:val="00080B6E"/>
    <w:rsid w:val="0008784C"/>
    <w:rsid w:val="000B5336"/>
    <w:rsid w:val="000D60CF"/>
    <w:rsid w:val="000F34F4"/>
    <w:rsid w:val="00122929"/>
    <w:rsid w:val="00131A7D"/>
    <w:rsid w:val="00161AD6"/>
    <w:rsid w:val="00164B7C"/>
    <w:rsid w:val="0017347B"/>
    <w:rsid w:val="00184808"/>
    <w:rsid w:val="0019777D"/>
    <w:rsid w:val="001B6B30"/>
    <w:rsid w:val="001C3524"/>
    <w:rsid w:val="001C73BA"/>
    <w:rsid w:val="001D3570"/>
    <w:rsid w:val="001E5892"/>
    <w:rsid w:val="001F05BD"/>
    <w:rsid w:val="00206574"/>
    <w:rsid w:val="002104F6"/>
    <w:rsid w:val="0021219F"/>
    <w:rsid w:val="00242C24"/>
    <w:rsid w:val="00243BD6"/>
    <w:rsid w:val="0025095B"/>
    <w:rsid w:val="00260694"/>
    <w:rsid w:val="002611E9"/>
    <w:rsid w:val="002B00A4"/>
    <w:rsid w:val="002C5D83"/>
    <w:rsid w:val="002D356F"/>
    <w:rsid w:val="002D6908"/>
    <w:rsid w:val="002D6EE2"/>
    <w:rsid w:val="002F7971"/>
    <w:rsid w:val="00313A74"/>
    <w:rsid w:val="00395C2F"/>
    <w:rsid w:val="003C1806"/>
    <w:rsid w:val="003C1C6E"/>
    <w:rsid w:val="003D63EF"/>
    <w:rsid w:val="003D65A5"/>
    <w:rsid w:val="003D75D6"/>
    <w:rsid w:val="003F0F84"/>
    <w:rsid w:val="00453097"/>
    <w:rsid w:val="00453AF1"/>
    <w:rsid w:val="00466794"/>
    <w:rsid w:val="00492CB4"/>
    <w:rsid w:val="004D182C"/>
    <w:rsid w:val="004F1DCC"/>
    <w:rsid w:val="005115BE"/>
    <w:rsid w:val="00530A7F"/>
    <w:rsid w:val="005371F9"/>
    <w:rsid w:val="00543434"/>
    <w:rsid w:val="00557F2C"/>
    <w:rsid w:val="005C38A0"/>
    <w:rsid w:val="005C697A"/>
    <w:rsid w:val="005E4A07"/>
    <w:rsid w:val="005F05A3"/>
    <w:rsid w:val="00605FD3"/>
    <w:rsid w:val="00614D0B"/>
    <w:rsid w:val="006317AB"/>
    <w:rsid w:val="00646BD4"/>
    <w:rsid w:val="00684734"/>
    <w:rsid w:val="0068737A"/>
    <w:rsid w:val="006B7E17"/>
    <w:rsid w:val="006C4FE2"/>
    <w:rsid w:val="006E6A23"/>
    <w:rsid w:val="006F62AC"/>
    <w:rsid w:val="00700D60"/>
    <w:rsid w:val="007024A5"/>
    <w:rsid w:val="007270E0"/>
    <w:rsid w:val="00750673"/>
    <w:rsid w:val="0076138E"/>
    <w:rsid w:val="007910EF"/>
    <w:rsid w:val="007C0B4F"/>
    <w:rsid w:val="007C526D"/>
    <w:rsid w:val="007E6104"/>
    <w:rsid w:val="007F03E9"/>
    <w:rsid w:val="008111F0"/>
    <w:rsid w:val="008152BC"/>
    <w:rsid w:val="00815E3A"/>
    <w:rsid w:val="00816AF8"/>
    <w:rsid w:val="00865126"/>
    <w:rsid w:val="00872BA0"/>
    <w:rsid w:val="00897616"/>
    <w:rsid w:val="008F183E"/>
    <w:rsid w:val="009569DB"/>
    <w:rsid w:val="00963047"/>
    <w:rsid w:val="0096556B"/>
    <w:rsid w:val="00970DDD"/>
    <w:rsid w:val="0099206E"/>
    <w:rsid w:val="009B6441"/>
    <w:rsid w:val="009C20E4"/>
    <w:rsid w:val="009D746D"/>
    <w:rsid w:val="009F19FB"/>
    <w:rsid w:val="00A541A3"/>
    <w:rsid w:val="00A716DE"/>
    <w:rsid w:val="00A8115D"/>
    <w:rsid w:val="00A90AC8"/>
    <w:rsid w:val="00A96053"/>
    <w:rsid w:val="00AA0140"/>
    <w:rsid w:val="00AB0732"/>
    <w:rsid w:val="00AF3549"/>
    <w:rsid w:val="00AF629D"/>
    <w:rsid w:val="00B0049F"/>
    <w:rsid w:val="00B107C6"/>
    <w:rsid w:val="00B730A3"/>
    <w:rsid w:val="00B96C38"/>
    <w:rsid w:val="00BA5525"/>
    <w:rsid w:val="00BB041A"/>
    <w:rsid w:val="00C03CF1"/>
    <w:rsid w:val="00C064AC"/>
    <w:rsid w:val="00C07483"/>
    <w:rsid w:val="00C161A3"/>
    <w:rsid w:val="00C17823"/>
    <w:rsid w:val="00C57E7B"/>
    <w:rsid w:val="00C61F77"/>
    <w:rsid w:val="00C83B7C"/>
    <w:rsid w:val="00CA3B8D"/>
    <w:rsid w:val="00CC41EA"/>
    <w:rsid w:val="00CE507F"/>
    <w:rsid w:val="00CF4711"/>
    <w:rsid w:val="00CF6410"/>
    <w:rsid w:val="00D503E4"/>
    <w:rsid w:val="00D610D6"/>
    <w:rsid w:val="00DB4A50"/>
    <w:rsid w:val="00DE6665"/>
    <w:rsid w:val="00E4026A"/>
    <w:rsid w:val="00EA5D8A"/>
    <w:rsid w:val="00ED4390"/>
    <w:rsid w:val="00EE6600"/>
    <w:rsid w:val="00F02258"/>
    <w:rsid w:val="00F11C39"/>
    <w:rsid w:val="00FC6E3A"/>
    <w:rsid w:val="00FC7BAA"/>
    <w:rsid w:val="00FD4AD8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4E2C"/>
  <w15:chartTrackingRefBased/>
  <w15:docId w15:val="{40852944-1287-499F-973B-E27134A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70E0"/>
  </w:style>
  <w:style w:type="paragraph" w:styleId="NoSpacing">
    <w:name w:val="No Spacing"/>
    <w:uiPriority w:val="1"/>
    <w:qFormat/>
    <w:rsid w:val="00727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549"/>
    <w:pPr>
      <w:ind w:left="720"/>
      <w:contextualSpacing/>
    </w:pPr>
  </w:style>
  <w:style w:type="paragraph" w:styleId="Revision">
    <w:name w:val="Revision"/>
    <w:hidden/>
    <w:uiPriority w:val="99"/>
    <w:semiHidden/>
    <w:rsid w:val="002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4FE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3330-A2C8-45AE-9A20-57CE7E86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909</Words>
  <Characters>4959</Characters>
  <Application>Microsoft Office Word</Application>
  <DocSecurity>0</DocSecurity>
  <Lines>275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Jimmie Seacat</dc:creator>
  <cp:keywords/>
  <dc:description/>
  <cp:lastModifiedBy>Shannon Gray</cp:lastModifiedBy>
  <cp:revision>3</cp:revision>
  <cp:lastPrinted>2026-02-12T19:28:00Z</cp:lastPrinted>
  <dcterms:created xsi:type="dcterms:W3CDTF">2026-02-12T19:52:00Z</dcterms:created>
  <dcterms:modified xsi:type="dcterms:W3CDTF">2026-02-12T19:53:00Z</dcterms:modified>
</cp:coreProperties>
</file>